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CC" w:rsidRDefault="008F48CC" w:rsidP="00EE1F96">
      <w:pPr>
        <w:rPr>
          <w:b/>
        </w:rPr>
      </w:pPr>
      <w:r>
        <w:rPr>
          <w:b/>
          <w:noProof/>
        </w:rPr>
        <w:drawing>
          <wp:anchor distT="0" distB="0" distL="114300" distR="114300" simplePos="0" relativeHeight="251658240" behindDoc="0" locked="0" layoutInCell="1" allowOverlap="1" wp14:anchorId="7E9ABD22" wp14:editId="1156C647">
            <wp:simplePos x="0" y="0"/>
            <wp:positionH relativeFrom="margin">
              <wp:align>left</wp:align>
            </wp:positionH>
            <wp:positionV relativeFrom="paragraph">
              <wp:posOffset>11430</wp:posOffset>
            </wp:positionV>
            <wp:extent cx="3204354" cy="85205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rvi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4354" cy="852055"/>
                    </a:xfrm>
                    <a:prstGeom prst="rect">
                      <a:avLst/>
                    </a:prstGeom>
                  </pic:spPr>
                </pic:pic>
              </a:graphicData>
            </a:graphic>
            <wp14:sizeRelH relativeFrom="page">
              <wp14:pctWidth>0</wp14:pctWidth>
            </wp14:sizeRelH>
            <wp14:sizeRelV relativeFrom="page">
              <wp14:pctHeight>0</wp14:pctHeight>
            </wp14:sizeRelV>
          </wp:anchor>
        </w:drawing>
      </w:r>
    </w:p>
    <w:p w:rsidR="008F48CC" w:rsidRDefault="008F48CC" w:rsidP="00EE1F96">
      <w:pPr>
        <w:rPr>
          <w:b/>
        </w:rPr>
      </w:pPr>
    </w:p>
    <w:p w:rsidR="003D5061" w:rsidRDefault="007517B7" w:rsidP="00EE1F96">
      <w:pPr>
        <w:rPr>
          <w:b/>
        </w:rPr>
      </w:pPr>
      <w:r>
        <w:rPr>
          <w:b/>
        </w:rPr>
        <w:t xml:space="preserve">WABASH COLLEGE CAREER TEST DRIVE </w:t>
      </w:r>
    </w:p>
    <w:p w:rsidR="007517B7" w:rsidRDefault="00854A3C" w:rsidP="00EE1F96">
      <w:pPr>
        <w:rPr>
          <w:b/>
        </w:rPr>
      </w:pPr>
      <w:r>
        <w:rPr>
          <w:b/>
        </w:rPr>
        <w:t>Student Funding Application—Wabash Callings</w:t>
      </w:r>
    </w:p>
    <w:p w:rsidR="008F48CC" w:rsidRDefault="008F48CC" w:rsidP="00EE1F96">
      <w:pPr>
        <w:rPr>
          <w:b/>
        </w:rPr>
      </w:pPr>
    </w:p>
    <w:p w:rsidR="007517B7" w:rsidRDefault="007517B7" w:rsidP="00EE1F96">
      <w:pPr>
        <w:rPr>
          <w:bCs/>
        </w:rPr>
      </w:pPr>
    </w:p>
    <w:p w:rsidR="007517B7" w:rsidRDefault="007517B7" w:rsidP="00EE1F96">
      <w:r w:rsidRPr="007517B7">
        <w:rPr>
          <w:bCs/>
        </w:rPr>
        <w:t>Career Test Drives enable students to experiment first-hand in an organization, industry, field, or kind of life.</w:t>
      </w:r>
      <w:r w:rsidRPr="007517B7">
        <w:t xml:space="preserve"> This experience builds the critical knowledge and insights </w:t>
      </w:r>
      <w:r>
        <w:t xml:space="preserve">they need </w:t>
      </w:r>
      <w:r w:rsidRPr="007517B7">
        <w:t>for discerning the best possibilities for career development--where strengths and interests fit with opportunity. Students spend one day to one month learning in an intensive job-shadow experience, often using school breaks to advance knowledge and prepare for summer internships and jobs.</w:t>
      </w:r>
    </w:p>
    <w:p w:rsidR="00933C10" w:rsidRDefault="00933C10" w:rsidP="00EE1F96"/>
    <w:p w:rsidR="007517B7" w:rsidRDefault="00854A3C" w:rsidP="00EE1F96">
      <w:r>
        <w:t>Wabash Callings helps fund these experiences in order for you to improve your discernment of meaningful and fulfilling work. Students are eligible for:</w:t>
      </w:r>
    </w:p>
    <w:p w:rsidR="00854A3C" w:rsidRDefault="00854A3C" w:rsidP="00EE1F96">
      <w:pPr>
        <w:pStyle w:val="ListParagraph"/>
        <w:numPr>
          <w:ilvl w:val="0"/>
          <w:numId w:val="2"/>
        </w:numPr>
      </w:pPr>
      <w:r w:rsidRPr="00854A3C">
        <w:rPr>
          <w:b/>
        </w:rPr>
        <w:t>Up to $500</w:t>
      </w:r>
      <w:r>
        <w:t>, if the Test Drive is more than 100 miles from Crawfordsville and more than 5 business days in length</w:t>
      </w:r>
    </w:p>
    <w:p w:rsidR="00854A3C" w:rsidRDefault="00854A3C" w:rsidP="00EE1F96">
      <w:pPr>
        <w:pStyle w:val="ListParagraph"/>
        <w:numPr>
          <w:ilvl w:val="0"/>
          <w:numId w:val="2"/>
        </w:numPr>
      </w:pPr>
      <w:r w:rsidRPr="00854A3C">
        <w:rPr>
          <w:b/>
        </w:rPr>
        <w:t>Up to $200</w:t>
      </w:r>
      <w:r>
        <w:t xml:space="preserve"> for all other Test Drives</w:t>
      </w:r>
    </w:p>
    <w:p w:rsidR="00854A3C" w:rsidRDefault="00854A3C" w:rsidP="00EE1F96"/>
    <w:p w:rsidR="00854A3C" w:rsidRDefault="00854A3C" w:rsidP="00EE1F96">
      <w:r>
        <w:t xml:space="preserve">Regardless of the amount requested, a student must follow this process to receive funding: </w:t>
      </w:r>
    </w:p>
    <w:p w:rsidR="00854A3C" w:rsidRDefault="00EE1F96" w:rsidP="00EE1F96">
      <w:pPr>
        <w:pStyle w:val="ListParagraph"/>
        <w:numPr>
          <w:ilvl w:val="0"/>
          <w:numId w:val="3"/>
        </w:numPr>
      </w:pPr>
      <w:r>
        <w:t>B</w:t>
      </w:r>
      <w:r w:rsidR="00854A3C">
        <w:t xml:space="preserve">e selected for Test Drive posted through </w:t>
      </w:r>
      <w:proofErr w:type="spellStart"/>
      <w:r w:rsidR="00854A3C">
        <w:t>WabashWorks</w:t>
      </w:r>
      <w:proofErr w:type="spellEnd"/>
      <w:r w:rsidR="00854A3C">
        <w:t xml:space="preserve"> or establish a Freestyle Test Drive; i.e. a student should line up a Test Drive before applying for funding</w:t>
      </w:r>
    </w:p>
    <w:p w:rsidR="00854A3C" w:rsidRDefault="00EE1F96" w:rsidP="00EE1F96">
      <w:pPr>
        <w:pStyle w:val="ListParagraph"/>
        <w:numPr>
          <w:ilvl w:val="0"/>
          <w:numId w:val="3"/>
        </w:numPr>
      </w:pPr>
      <w:r>
        <w:t>S</w:t>
      </w:r>
      <w:r w:rsidR="00854A3C">
        <w:t xml:space="preserve">ubmit </w:t>
      </w:r>
      <w:r w:rsidR="00854A3C" w:rsidRPr="00854A3C">
        <w:rPr>
          <w:b/>
        </w:rPr>
        <w:t>this form</w:t>
      </w:r>
      <w:r w:rsidR="00854A3C">
        <w:t xml:space="preserve">, including a budget and Pre-Test Drive essay, and a </w:t>
      </w:r>
      <w:r w:rsidR="00854A3C" w:rsidRPr="00854A3C">
        <w:rPr>
          <w:b/>
        </w:rPr>
        <w:t>polished resume</w:t>
      </w:r>
      <w:r w:rsidR="00854A3C">
        <w:t xml:space="preserve"> to </w:t>
      </w:r>
      <w:hyperlink r:id="rId6" w:history="1">
        <w:r w:rsidR="00854A3C" w:rsidRPr="007117E1">
          <w:rPr>
            <w:rStyle w:val="Hyperlink"/>
          </w:rPr>
          <w:t>career@wabash.edu</w:t>
        </w:r>
      </w:hyperlink>
    </w:p>
    <w:p w:rsidR="00854A3C" w:rsidRDefault="00854A3C" w:rsidP="00EE1F96">
      <w:pPr>
        <w:pStyle w:val="ListParagraph"/>
        <w:numPr>
          <w:ilvl w:val="0"/>
          <w:numId w:val="3"/>
        </w:numPr>
      </w:pPr>
      <w:r>
        <w:t>Once received, Career Services will accept or deny the request</w:t>
      </w:r>
    </w:p>
    <w:p w:rsidR="00854A3C" w:rsidRDefault="00854A3C" w:rsidP="00EE1F96">
      <w:pPr>
        <w:pStyle w:val="ListParagraph"/>
        <w:numPr>
          <w:ilvl w:val="0"/>
          <w:numId w:val="3"/>
        </w:numPr>
      </w:pPr>
      <w:r>
        <w:t xml:space="preserve">If accepted, </w:t>
      </w:r>
      <w:r w:rsidR="00EE1F96">
        <w:t>fill out a Cash Request Form at the Wabash College Business Office in the amount requested</w:t>
      </w:r>
    </w:p>
    <w:p w:rsidR="00EE1F96" w:rsidRPr="00EE1F96" w:rsidRDefault="00EE1F96" w:rsidP="00EE1F96">
      <w:pPr>
        <w:pStyle w:val="ListParagraph"/>
        <w:numPr>
          <w:ilvl w:val="0"/>
          <w:numId w:val="3"/>
        </w:numPr>
      </w:pPr>
      <w:r>
        <w:rPr>
          <w:b/>
        </w:rPr>
        <w:t>Collect all receipts during the Career Test Drive to justify expenses</w:t>
      </w:r>
    </w:p>
    <w:p w:rsidR="00EE1F96" w:rsidRDefault="00EE1F96" w:rsidP="00EE1F96">
      <w:pPr>
        <w:pStyle w:val="ListParagraph"/>
        <w:numPr>
          <w:ilvl w:val="0"/>
          <w:numId w:val="3"/>
        </w:numPr>
      </w:pPr>
      <w:r>
        <w:t>After the Test Drive, return all receipts to Career Services</w:t>
      </w:r>
    </w:p>
    <w:p w:rsidR="00EE1F96" w:rsidRDefault="00EE1F96" w:rsidP="00EE1F96">
      <w:pPr>
        <w:pStyle w:val="ListParagraph"/>
        <w:numPr>
          <w:ilvl w:val="0"/>
          <w:numId w:val="3"/>
        </w:numPr>
      </w:pPr>
      <w:r>
        <w:t>Draft a blog entry for the Career Services Blog based on your experience and career discernment (be sure to take pictures during your Test Drive to include in the blog)</w:t>
      </w:r>
    </w:p>
    <w:p w:rsidR="00EE1F96" w:rsidRDefault="00EE1F96" w:rsidP="00EE1F96"/>
    <w:p w:rsidR="00EE1F96" w:rsidRPr="00EE1F96" w:rsidRDefault="00EE1F96" w:rsidP="00EE1F96">
      <w:pPr>
        <w:rPr>
          <w:b/>
        </w:rPr>
      </w:pPr>
      <w:r>
        <w:rPr>
          <w:b/>
        </w:rPr>
        <w:t>QUESTIONS AND PROMPTS</w:t>
      </w:r>
    </w:p>
    <w:p w:rsidR="007517B7" w:rsidRPr="007517B7" w:rsidRDefault="00E161FB" w:rsidP="00EE1F96">
      <w:pPr>
        <w:pStyle w:val="ListParagraph"/>
        <w:numPr>
          <w:ilvl w:val="0"/>
          <w:numId w:val="1"/>
        </w:numPr>
        <w:rPr>
          <w:b/>
        </w:rPr>
      </w:pPr>
      <w:r>
        <w:rPr>
          <w:b/>
        </w:rPr>
        <w:t>Your n</w:t>
      </w:r>
      <w:r w:rsidR="007517B7" w:rsidRPr="007517B7">
        <w:rPr>
          <w:b/>
        </w:rPr>
        <w:t>ame</w:t>
      </w:r>
      <w:r w:rsidR="00EE1F96">
        <w:rPr>
          <w:b/>
        </w:rPr>
        <w:t>, year,</w:t>
      </w:r>
      <w:r w:rsidR="007517B7" w:rsidRPr="007517B7">
        <w:rPr>
          <w:b/>
        </w:rPr>
        <w:t xml:space="preserve"> and </w:t>
      </w:r>
      <w:r>
        <w:rPr>
          <w:b/>
        </w:rPr>
        <w:t>c</w:t>
      </w:r>
      <w:r w:rsidR="007517B7" w:rsidRPr="007517B7">
        <w:rPr>
          <w:b/>
        </w:rPr>
        <w:t xml:space="preserve">ontact </w:t>
      </w:r>
      <w:r>
        <w:rPr>
          <w:b/>
        </w:rPr>
        <w:t>i</w:t>
      </w:r>
      <w:r w:rsidR="007517B7" w:rsidRPr="007517B7">
        <w:rPr>
          <w:b/>
        </w:rPr>
        <w:t>nformation</w:t>
      </w:r>
    </w:p>
    <w:p w:rsidR="007517B7" w:rsidRDefault="007517B7" w:rsidP="00EE1F96">
      <w:pPr>
        <w:rPr>
          <w:b/>
        </w:rPr>
      </w:pPr>
    </w:p>
    <w:p w:rsidR="007517B7" w:rsidRDefault="007517B7" w:rsidP="00EE1F96">
      <w:pPr>
        <w:rPr>
          <w:b/>
        </w:rPr>
      </w:pPr>
    </w:p>
    <w:p w:rsidR="007517B7" w:rsidRDefault="007517B7" w:rsidP="00EE1F96">
      <w:pPr>
        <w:rPr>
          <w:b/>
        </w:rPr>
      </w:pPr>
    </w:p>
    <w:p w:rsidR="00933C10" w:rsidRDefault="00933C10" w:rsidP="00EE1F96">
      <w:pPr>
        <w:pStyle w:val="NormalWeb"/>
        <w:spacing w:before="0" w:beforeAutospacing="0" w:after="0" w:afterAutospacing="0"/>
      </w:pPr>
    </w:p>
    <w:p w:rsidR="00EE1F96" w:rsidRDefault="00EE1F96" w:rsidP="00EE1F96">
      <w:pPr>
        <w:pStyle w:val="NormalWeb"/>
        <w:spacing w:before="0" w:beforeAutospacing="0" w:after="0" w:afterAutospacing="0"/>
      </w:pPr>
    </w:p>
    <w:p w:rsidR="00EE1F96" w:rsidRDefault="00EE1F96" w:rsidP="00EE1F96">
      <w:pPr>
        <w:pStyle w:val="NormalWeb"/>
        <w:spacing w:before="0" w:beforeAutospacing="0" w:after="0" w:afterAutospacing="0"/>
      </w:pPr>
    </w:p>
    <w:p w:rsidR="007517B7" w:rsidRDefault="007517B7" w:rsidP="00EE1F96">
      <w:pPr>
        <w:pStyle w:val="NormalWeb"/>
        <w:numPr>
          <w:ilvl w:val="0"/>
          <w:numId w:val="1"/>
        </w:numPr>
        <w:spacing w:before="0" w:beforeAutospacing="0" w:after="0" w:afterAutospacing="0"/>
      </w:pPr>
      <w:r w:rsidRPr="00EE1F96">
        <w:rPr>
          <w:b/>
          <w:bCs/>
        </w:rPr>
        <w:t xml:space="preserve">A </w:t>
      </w:r>
      <w:r w:rsidR="00E161FB" w:rsidRPr="00EE1F96">
        <w:rPr>
          <w:b/>
          <w:bCs/>
        </w:rPr>
        <w:t>d</w:t>
      </w:r>
      <w:r w:rsidRPr="00EE1F96">
        <w:rPr>
          <w:b/>
          <w:bCs/>
        </w:rPr>
        <w:t>escription</w:t>
      </w:r>
      <w:r>
        <w:t xml:space="preserve"> of the </w:t>
      </w:r>
      <w:r w:rsidR="00EE1F96">
        <w:t>Test Drive you are pursuing</w:t>
      </w:r>
      <w:r>
        <w:t>—</w:t>
      </w:r>
      <w:r w:rsidR="00EE1F96">
        <w:t>the organization, contact information for your host, and the basic details on what you will be doing</w:t>
      </w:r>
    </w:p>
    <w:p w:rsidR="00933C10" w:rsidRDefault="00933C10" w:rsidP="00EE1F96">
      <w:pPr>
        <w:pStyle w:val="NormalWeb"/>
        <w:spacing w:before="0" w:beforeAutospacing="0" w:after="0" w:afterAutospacing="0"/>
      </w:pPr>
    </w:p>
    <w:p w:rsidR="00EE1F96" w:rsidRDefault="00EE1F96" w:rsidP="00EE1F96">
      <w:pPr>
        <w:pStyle w:val="NormalWeb"/>
        <w:spacing w:before="0" w:beforeAutospacing="0" w:after="0" w:afterAutospacing="0"/>
      </w:pPr>
    </w:p>
    <w:p w:rsidR="00EE1F96" w:rsidRDefault="00EE1F96" w:rsidP="00EE1F96">
      <w:pPr>
        <w:pStyle w:val="NormalWeb"/>
        <w:spacing w:before="0" w:beforeAutospacing="0" w:after="0" w:afterAutospacing="0"/>
      </w:pPr>
    </w:p>
    <w:p w:rsidR="007517B7" w:rsidRDefault="007517B7" w:rsidP="00EE1F96">
      <w:pPr>
        <w:pStyle w:val="NormalWeb"/>
        <w:spacing w:before="0" w:beforeAutospacing="0" w:after="0" w:afterAutospacing="0"/>
      </w:pPr>
    </w:p>
    <w:p w:rsidR="007517B7" w:rsidRPr="00EE1F96" w:rsidRDefault="007517B7" w:rsidP="00EE1F96">
      <w:pPr>
        <w:pStyle w:val="NormalWeb"/>
        <w:numPr>
          <w:ilvl w:val="0"/>
          <w:numId w:val="1"/>
        </w:numPr>
        <w:spacing w:before="0" w:beforeAutospacing="0" w:after="0" w:afterAutospacing="0"/>
        <w:rPr>
          <w:b/>
        </w:rPr>
      </w:pPr>
      <w:r w:rsidRPr="00EE1F96">
        <w:rPr>
          <w:b/>
          <w:bCs/>
        </w:rPr>
        <w:t>Some logistical details</w:t>
      </w:r>
      <w:r w:rsidR="00EE1F96">
        <w:t xml:space="preserve"> including how you will take care of housing, food, and travel. </w:t>
      </w:r>
    </w:p>
    <w:p w:rsidR="00EE1F96" w:rsidRDefault="00EE1F96" w:rsidP="00EE1F96">
      <w:pPr>
        <w:pStyle w:val="NormalWeb"/>
        <w:spacing w:before="0" w:beforeAutospacing="0" w:after="0" w:afterAutospacing="0"/>
        <w:rPr>
          <w:b/>
        </w:rPr>
      </w:pPr>
    </w:p>
    <w:p w:rsidR="00EE1F96" w:rsidRDefault="00EE1F96" w:rsidP="00EE1F96">
      <w:pPr>
        <w:pStyle w:val="NormalWeb"/>
        <w:spacing w:before="0" w:beforeAutospacing="0" w:after="0" w:afterAutospacing="0"/>
        <w:rPr>
          <w:b/>
        </w:rPr>
      </w:pPr>
    </w:p>
    <w:p w:rsidR="00EE1F96" w:rsidRDefault="00EE1F96" w:rsidP="00EE1F96">
      <w:pPr>
        <w:pStyle w:val="NormalWeb"/>
        <w:spacing w:before="0" w:beforeAutospacing="0" w:after="0" w:afterAutospacing="0"/>
        <w:rPr>
          <w:b/>
        </w:rPr>
      </w:pPr>
    </w:p>
    <w:p w:rsidR="00EE1F96" w:rsidRDefault="00EE1F96" w:rsidP="00EE1F96">
      <w:pPr>
        <w:pStyle w:val="NormalWeb"/>
        <w:spacing w:before="0" w:beforeAutospacing="0" w:after="0" w:afterAutospacing="0"/>
        <w:rPr>
          <w:b/>
        </w:rPr>
      </w:pPr>
    </w:p>
    <w:p w:rsidR="00EE1F96" w:rsidRDefault="00EE1F96" w:rsidP="00EE1F96">
      <w:pPr>
        <w:pStyle w:val="NormalWeb"/>
        <w:spacing w:before="0" w:beforeAutospacing="0" w:after="0" w:afterAutospacing="0"/>
        <w:rPr>
          <w:b/>
        </w:rPr>
      </w:pPr>
      <w:r>
        <w:rPr>
          <w:b/>
        </w:rPr>
        <w:lastRenderedPageBreak/>
        <w:t>PRELIMINARY TEST DRIVE CALLINGS ESSAY</w:t>
      </w:r>
    </w:p>
    <w:p w:rsidR="00EE1F96" w:rsidRDefault="00EE1F96" w:rsidP="00EE1F96">
      <w:pPr>
        <w:pStyle w:val="NormalWeb"/>
        <w:spacing w:before="0" w:beforeAutospacing="0" w:after="0" w:afterAutospacing="0"/>
      </w:pPr>
      <w:r>
        <w:t xml:space="preserve">How does this Career Test Drive help you explore your future career path? What questions are you asking about the field, organization, or industry that you hope will be answered? What leads </w:t>
      </w:r>
      <w:r w:rsidR="00C653E5">
        <w:t>you to think this path is promising? What experience would confirm or disconfirm your interest in this path? Write an essay responding to some of these questions (400-500 words).</w:t>
      </w:r>
    </w:p>
    <w:p w:rsidR="00C653E5" w:rsidRDefault="00C653E5" w:rsidP="00EE1F96">
      <w:pPr>
        <w:pStyle w:val="NormalWeb"/>
        <w:spacing w:before="0" w:beforeAutospacing="0" w:after="0" w:afterAutospacing="0"/>
      </w:pPr>
    </w:p>
    <w:p w:rsidR="00C653E5" w:rsidRDefault="00C653E5"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bookmarkStart w:id="0" w:name="_GoBack"/>
      <w:bookmarkEnd w:id="0"/>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pPr>
    </w:p>
    <w:p w:rsidR="00B93E9C" w:rsidRDefault="00B93E9C" w:rsidP="00EE1F96">
      <w:pPr>
        <w:pStyle w:val="NormalWeb"/>
        <w:spacing w:before="0" w:beforeAutospacing="0" w:after="0" w:afterAutospacing="0"/>
        <w:rPr>
          <w:b/>
        </w:rPr>
      </w:pPr>
      <w:r>
        <w:rPr>
          <w:b/>
        </w:rPr>
        <w:t>CAREER TEST DRIVE BUDGET</w:t>
      </w:r>
    </w:p>
    <w:p w:rsidR="00B93E9C" w:rsidRDefault="00B93E9C" w:rsidP="00EE1F96">
      <w:pPr>
        <w:pStyle w:val="NormalWeb"/>
        <w:spacing w:before="0" w:beforeAutospacing="0" w:after="0" w:afterAutospacing="0"/>
        <w:rPr>
          <w:b/>
        </w:rPr>
      </w:pPr>
    </w:p>
    <w:tbl>
      <w:tblPr>
        <w:tblStyle w:val="TableGrid"/>
        <w:tblW w:w="0" w:type="auto"/>
        <w:tblLook w:val="04A0" w:firstRow="1" w:lastRow="0" w:firstColumn="1" w:lastColumn="0" w:noHBand="0" w:noVBand="1"/>
      </w:tblPr>
      <w:tblGrid>
        <w:gridCol w:w="1705"/>
        <w:gridCol w:w="3870"/>
        <w:gridCol w:w="2430"/>
        <w:gridCol w:w="2209"/>
      </w:tblGrid>
      <w:tr w:rsidR="00B93E9C" w:rsidTr="00B93E9C">
        <w:tc>
          <w:tcPr>
            <w:tcW w:w="1705" w:type="dxa"/>
          </w:tcPr>
          <w:p w:rsidR="00B93E9C" w:rsidRDefault="00B93E9C" w:rsidP="00EE1F96">
            <w:pPr>
              <w:pStyle w:val="NormalWeb"/>
              <w:spacing w:before="0" w:beforeAutospacing="0" w:after="0" w:afterAutospacing="0"/>
              <w:rPr>
                <w:b/>
              </w:rPr>
            </w:pPr>
            <w:r>
              <w:rPr>
                <w:b/>
              </w:rPr>
              <w:t>Budget Area</w:t>
            </w:r>
          </w:p>
        </w:tc>
        <w:tc>
          <w:tcPr>
            <w:tcW w:w="3870" w:type="dxa"/>
          </w:tcPr>
          <w:p w:rsidR="00B93E9C" w:rsidRDefault="00B93E9C" w:rsidP="00EE1F96">
            <w:pPr>
              <w:pStyle w:val="NormalWeb"/>
              <w:spacing w:before="0" w:beforeAutospacing="0" w:after="0" w:afterAutospacing="0"/>
              <w:rPr>
                <w:b/>
              </w:rPr>
            </w:pPr>
            <w:r>
              <w:rPr>
                <w:b/>
              </w:rPr>
              <w:t>Details</w:t>
            </w:r>
          </w:p>
        </w:tc>
        <w:tc>
          <w:tcPr>
            <w:tcW w:w="2430" w:type="dxa"/>
          </w:tcPr>
          <w:p w:rsidR="00B93E9C" w:rsidRDefault="00B93E9C" w:rsidP="00EE1F96">
            <w:pPr>
              <w:pStyle w:val="NormalWeb"/>
              <w:spacing w:before="0" w:beforeAutospacing="0" w:after="0" w:afterAutospacing="0"/>
              <w:rPr>
                <w:b/>
              </w:rPr>
            </w:pPr>
            <w:r>
              <w:rPr>
                <w:b/>
              </w:rPr>
              <w:t>Expected Amount ($)</w:t>
            </w:r>
          </w:p>
        </w:tc>
        <w:tc>
          <w:tcPr>
            <w:tcW w:w="2209" w:type="dxa"/>
          </w:tcPr>
          <w:p w:rsidR="00B93E9C" w:rsidRDefault="00B93E9C" w:rsidP="00EE1F96">
            <w:pPr>
              <w:pStyle w:val="NormalWeb"/>
              <w:spacing w:before="0" w:beforeAutospacing="0" w:after="0" w:afterAutospacing="0"/>
              <w:rPr>
                <w:b/>
              </w:rPr>
            </w:pPr>
            <w:r>
              <w:rPr>
                <w:b/>
              </w:rPr>
              <w:t>Actual Amount ($)</w:t>
            </w:r>
          </w:p>
        </w:tc>
      </w:tr>
      <w:tr w:rsidR="00B93E9C" w:rsidTr="00B93E9C">
        <w:tc>
          <w:tcPr>
            <w:tcW w:w="1705" w:type="dxa"/>
          </w:tcPr>
          <w:p w:rsidR="00B93E9C" w:rsidRPr="00B93E9C" w:rsidRDefault="00B93E9C" w:rsidP="00EE1F96">
            <w:pPr>
              <w:pStyle w:val="NormalWeb"/>
              <w:spacing w:before="0" w:beforeAutospacing="0" w:after="0" w:afterAutospacing="0"/>
            </w:pPr>
            <w:r>
              <w:t>Travel</w:t>
            </w:r>
          </w:p>
        </w:tc>
        <w:tc>
          <w:tcPr>
            <w:tcW w:w="3870" w:type="dxa"/>
          </w:tcPr>
          <w:p w:rsidR="00B93E9C" w:rsidRPr="00B93E9C" w:rsidRDefault="00B93E9C" w:rsidP="00EE1F96">
            <w:pPr>
              <w:pStyle w:val="NormalWeb"/>
              <w:spacing w:before="0" w:beforeAutospacing="0" w:after="0" w:afterAutospacing="0"/>
            </w:pP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r w:rsidR="00B93E9C" w:rsidTr="00B93E9C">
        <w:tc>
          <w:tcPr>
            <w:tcW w:w="1705" w:type="dxa"/>
          </w:tcPr>
          <w:p w:rsidR="00B93E9C" w:rsidRPr="00B93E9C" w:rsidRDefault="00B93E9C" w:rsidP="00EE1F96">
            <w:pPr>
              <w:pStyle w:val="NormalWeb"/>
              <w:spacing w:before="0" w:beforeAutospacing="0" w:after="0" w:afterAutospacing="0"/>
            </w:pPr>
            <w:r>
              <w:t>Housing</w:t>
            </w:r>
          </w:p>
        </w:tc>
        <w:tc>
          <w:tcPr>
            <w:tcW w:w="3870" w:type="dxa"/>
          </w:tcPr>
          <w:p w:rsidR="00B93E9C" w:rsidRDefault="00B93E9C" w:rsidP="00EE1F96">
            <w:pPr>
              <w:pStyle w:val="NormalWeb"/>
              <w:spacing w:before="0" w:beforeAutospacing="0" w:after="0" w:afterAutospacing="0"/>
              <w:rPr>
                <w:b/>
              </w:rPr>
            </w:pP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r w:rsidR="00B93E9C" w:rsidTr="00B93E9C">
        <w:tc>
          <w:tcPr>
            <w:tcW w:w="1705" w:type="dxa"/>
          </w:tcPr>
          <w:p w:rsidR="00B93E9C" w:rsidRPr="00B93E9C" w:rsidRDefault="00B93E9C" w:rsidP="00EE1F96">
            <w:pPr>
              <w:pStyle w:val="NormalWeb"/>
              <w:spacing w:before="0" w:beforeAutospacing="0" w:after="0" w:afterAutospacing="0"/>
            </w:pPr>
            <w:r>
              <w:t>Food</w:t>
            </w:r>
          </w:p>
        </w:tc>
        <w:tc>
          <w:tcPr>
            <w:tcW w:w="3870" w:type="dxa"/>
          </w:tcPr>
          <w:p w:rsidR="00B93E9C" w:rsidRDefault="00B93E9C" w:rsidP="00EE1F96">
            <w:pPr>
              <w:pStyle w:val="NormalWeb"/>
              <w:spacing w:before="0" w:beforeAutospacing="0" w:after="0" w:afterAutospacing="0"/>
              <w:rPr>
                <w:b/>
              </w:rPr>
            </w:pP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r w:rsidR="00B93E9C" w:rsidTr="00B93E9C">
        <w:tc>
          <w:tcPr>
            <w:tcW w:w="1705" w:type="dxa"/>
          </w:tcPr>
          <w:p w:rsidR="00B93E9C" w:rsidRPr="00B93E9C" w:rsidRDefault="00B93E9C" w:rsidP="00EE1F96">
            <w:pPr>
              <w:pStyle w:val="NormalWeb"/>
              <w:spacing w:before="0" w:beforeAutospacing="0" w:after="0" w:afterAutospacing="0"/>
            </w:pPr>
            <w:r>
              <w:t>Other (specify)</w:t>
            </w:r>
          </w:p>
        </w:tc>
        <w:tc>
          <w:tcPr>
            <w:tcW w:w="3870" w:type="dxa"/>
          </w:tcPr>
          <w:p w:rsidR="00B93E9C" w:rsidRDefault="00B93E9C" w:rsidP="00EE1F96">
            <w:pPr>
              <w:pStyle w:val="NormalWeb"/>
              <w:spacing w:before="0" w:beforeAutospacing="0" w:after="0" w:afterAutospacing="0"/>
              <w:rPr>
                <w:b/>
              </w:rPr>
            </w:pP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r w:rsidR="00B93E9C" w:rsidTr="00B93E9C">
        <w:tc>
          <w:tcPr>
            <w:tcW w:w="1705" w:type="dxa"/>
          </w:tcPr>
          <w:p w:rsidR="00B93E9C" w:rsidRPr="00B93E9C" w:rsidRDefault="00B93E9C" w:rsidP="00EE1F96">
            <w:pPr>
              <w:pStyle w:val="NormalWeb"/>
              <w:spacing w:before="0" w:beforeAutospacing="0" w:after="0" w:afterAutospacing="0"/>
            </w:pPr>
            <w:r>
              <w:t>Other (specify)</w:t>
            </w:r>
          </w:p>
        </w:tc>
        <w:tc>
          <w:tcPr>
            <w:tcW w:w="3870" w:type="dxa"/>
          </w:tcPr>
          <w:p w:rsidR="00B93E9C" w:rsidRDefault="00B93E9C" w:rsidP="00EE1F96">
            <w:pPr>
              <w:pStyle w:val="NormalWeb"/>
              <w:spacing w:before="0" w:beforeAutospacing="0" w:after="0" w:afterAutospacing="0"/>
              <w:rPr>
                <w:b/>
              </w:rPr>
            </w:pP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r w:rsidR="00B93E9C" w:rsidTr="00B93E9C">
        <w:tc>
          <w:tcPr>
            <w:tcW w:w="1705" w:type="dxa"/>
          </w:tcPr>
          <w:p w:rsidR="00B93E9C" w:rsidRDefault="00B93E9C" w:rsidP="00EE1F96">
            <w:pPr>
              <w:pStyle w:val="NormalWeb"/>
              <w:spacing w:before="0" w:beforeAutospacing="0" w:after="0" w:afterAutospacing="0"/>
              <w:rPr>
                <w:b/>
              </w:rPr>
            </w:pPr>
          </w:p>
        </w:tc>
        <w:tc>
          <w:tcPr>
            <w:tcW w:w="3870" w:type="dxa"/>
          </w:tcPr>
          <w:p w:rsidR="00B93E9C" w:rsidRPr="00B93E9C" w:rsidRDefault="00B93E9C" w:rsidP="00B93E9C">
            <w:pPr>
              <w:pStyle w:val="NormalWeb"/>
              <w:spacing w:before="0" w:beforeAutospacing="0" w:after="0" w:afterAutospacing="0"/>
              <w:jc w:val="right"/>
              <w:rPr>
                <w:b/>
              </w:rPr>
            </w:pPr>
            <w:r>
              <w:rPr>
                <w:b/>
              </w:rPr>
              <w:t>TOTAL</w:t>
            </w:r>
          </w:p>
        </w:tc>
        <w:tc>
          <w:tcPr>
            <w:tcW w:w="2430" w:type="dxa"/>
          </w:tcPr>
          <w:p w:rsidR="00B93E9C" w:rsidRDefault="00B93E9C" w:rsidP="00EE1F96">
            <w:pPr>
              <w:pStyle w:val="NormalWeb"/>
              <w:spacing w:before="0" w:beforeAutospacing="0" w:after="0" w:afterAutospacing="0"/>
              <w:rPr>
                <w:b/>
              </w:rPr>
            </w:pPr>
          </w:p>
        </w:tc>
        <w:tc>
          <w:tcPr>
            <w:tcW w:w="2209" w:type="dxa"/>
          </w:tcPr>
          <w:p w:rsidR="00B93E9C" w:rsidRDefault="00B93E9C" w:rsidP="00EE1F96">
            <w:pPr>
              <w:pStyle w:val="NormalWeb"/>
              <w:spacing w:before="0" w:beforeAutospacing="0" w:after="0" w:afterAutospacing="0"/>
              <w:rPr>
                <w:b/>
              </w:rPr>
            </w:pPr>
          </w:p>
        </w:tc>
      </w:tr>
    </w:tbl>
    <w:p w:rsidR="00B93E9C" w:rsidRPr="00B93E9C" w:rsidRDefault="00B93E9C" w:rsidP="00EE1F96">
      <w:pPr>
        <w:pStyle w:val="NormalWeb"/>
        <w:spacing w:before="0" w:beforeAutospacing="0" w:after="0" w:afterAutospacing="0"/>
        <w:rPr>
          <w:b/>
        </w:rPr>
      </w:pPr>
    </w:p>
    <w:p w:rsidR="00B93E9C" w:rsidRDefault="00B93E9C" w:rsidP="00EE1F96">
      <w:pPr>
        <w:pStyle w:val="NormalWeb"/>
        <w:spacing w:before="0" w:beforeAutospacing="0" w:after="0" w:afterAutospacing="0"/>
      </w:pPr>
    </w:p>
    <w:p w:rsidR="00B93E9C" w:rsidRPr="00EE1F96" w:rsidRDefault="00B93E9C" w:rsidP="00EE1F96">
      <w:pPr>
        <w:pStyle w:val="NormalWeb"/>
        <w:spacing w:before="0" w:beforeAutospacing="0" w:after="0" w:afterAutospacing="0"/>
      </w:pPr>
    </w:p>
    <w:p w:rsidR="007517B7" w:rsidRPr="007517B7" w:rsidRDefault="007517B7" w:rsidP="00EE1F96"/>
    <w:sectPr w:rsidR="007517B7" w:rsidRPr="007517B7" w:rsidSect="00933C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3F40"/>
    <w:multiLevelType w:val="hybridMultilevel"/>
    <w:tmpl w:val="CFF4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F7D03"/>
    <w:multiLevelType w:val="hybridMultilevel"/>
    <w:tmpl w:val="8D9C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64C8B"/>
    <w:multiLevelType w:val="hybridMultilevel"/>
    <w:tmpl w:val="E6DAE820"/>
    <w:lvl w:ilvl="0" w:tplc="93025A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9F"/>
    <w:rsid w:val="003D5061"/>
    <w:rsid w:val="006C229F"/>
    <w:rsid w:val="007044DE"/>
    <w:rsid w:val="007517B7"/>
    <w:rsid w:val="00854A3C"/>
    <w:rsid w:val="008F48CC"/>
    <w:rsid w:val="00933C10"/>
    <w:rsid w:val="00B93E9C"/>
    <w:rsid w:val="00C653E5"/>
    <w:rsid w:val="00E161FB"/>
    <w:rsid w:val="00E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3BDB-3195-42AF-A408-61BF6C4E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DE"/>
    <w:rPr>
      <w:sz w:val="24"/>
      <w:szCs w:val="24"/>
    </w:rPr>
  </w:style>
  <w:style w:type="paragraph" w:styleId="Heading1">
    <w:name w:val="heading 1"/>
    <w:basedOn w:val="Normal"/>
    <w:next w:val="Normal"/>
    <w:link w:val="Heading1Char"/>
    <w:qFormat/>
    <w:rsid w:val="007044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44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4D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4DE"/>
    <w:rPr>
      <w:rFonts w:ascii="Arial" w:hAnsi="Arial" w:cs="Arial"/>
      <w:b/>
      <w:bCs/>
      <w:kern w:val="32"/>
      <w:sz w:val="32"/>
      <w:szCs w:val="32"/>
    </w:rPr>
  </w:style>
  <w:style w:type="character" w:customStyle="1" w:styleId="Heading2Char">
    <w:name w:val="Heading 2 Char"/>
    <w:basedOn w:val="DefaultParagraphFont"/>
    <w:link w:val="Heading2"/>
    <w:rsid w:val="007044DE"/>
    <w:rPr>
      <w:rFonts w:ascii="Arial" w:hAnsi="Arial" w:cs="Arial"/>
      <w:b/>
      <w:bCs/>
      <w:i/>
      <w:iCs/>
      <w:sz w:val="28"/>
      <w:szCs w:val="28"/>
    </w:rPr>
  </w:style>
  <w:style w:type="character" w:customStyle="1" w:styleId="Heading3Char">
    <w:name w:val="Heading 3 Char"/>
    <w:basedOn w:val="DefaultParagraphFont"/>
    <w:link w:val="Heading3"/>
    <w:rsid w:val="007044DE"/>
    <w:rPr>
      <w:rFonts w:ascii="Arial" w:hAnsi="Arial" w:cs="Arial"/>
      <w:b/>
      <w:bCs/>
      <w:sz w:val="26"/>
      <w:szCs w:val="26"/>
    </w:rPr>
  </w:style>
  <w:style w:type="paragraph" w:styleId="Title">
    <w:name w:val="Title"/>
    <w:basedOn w:val="Normal"/>
    <w:link w:val="TitleChar"/>
    <w:qFormat/>
    <w:rsid w:val="007044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044DE"/>
    <w:rPr>
      <w:rFonts w:ascii="Arial" w:hAnsi="Arial" w:cs="Arial"/>
      <w:b/>
      <w:bCs/>
      <w:kern w:val="28"/>
      <w:sz w:val="32"/>
      <w:szCs w:val="32"/>
    </w:rPr>
  </w:style>
  <w:style w:type="paragraph" w:styleId="ListParagraph">
    <w:name w:val="List Paragraph"/>
    <w:basedOn w:val="Normal"/>
    <w:uiPriority w:val="34"/>
    <w:qFormat/>
    <w:rsid w:val="007044DE"/>
    <w:pPr>
      <w:ind w:left="720"/>
      <w:contextualSpacing/>
    </w:pPr>
  </w:style>
  <w:style w:type="paragraph" w:styleId="NormalWeb">
    <w:name w:val="Normal (Web)"/>
    <w:basedOn w:val="Normal"/>
    <w:uiPriority w:val="99"/>
    <w:unhideWhenUsed/>
    <w:rsid w:val="007517B7"/>
    <w:pPr>
      <w:spacing w:before="100" w:beforeAutospacing="1" w:after="100" w:afterAutospacing="1"/>
    </w:pPr>
    <w:rPr>
      <w:rFonts w:eastAsiaTheme="minorHAnsi"/>
    </w:rPr>
  </w:style>
  <w:style w:type="character" w:styleId="Hyperlink">
    <w:name w:val="Hyperlink"/>
    <w:basedOn w:val="DefaultParagraphFont"/>
    <w:uiPriority w:val="99"/>
    <w:unhideWhenUsed/>
    <w:rsid w:val="008F48CC"/>
    <w:rPr>
      <w:color w:val="0000FF" w:themeColor="hyperlink"/>
      <w:u w:val="single"/>
    </w:rPr>
  </w:style>
  <w:style w:type="table" w:styleId="TableGrid">
    <w:name w:val="Table Grid"/>
    <w:basedOn w:val="TableNormal"/>
    <w:uiPriority w:val="39"/>
    <w:rsid w:val="00B93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wabas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Jeffries</dc:creator>
  <cp:keywords/>
  <dc:description/>
  <cp:lastModifiedBy>James Jeffries</cp:lastModifiedBy>
  <cp:revision>4</cp:revision>
  <dcterms:created xsi:type="dcterms:W3CDTF">2013-12-18T20:00:00Z</dcterms:created>
  <dcterms:modified xsi:type="dcterms:W3CDTF">2013-12-18T20:26:00Z</dcterms:modified>
</cp:coreProperties>
</file>