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5" w:type="dxa"/>
        <w:tblCellSpacing w:w="0" w:type="dxa"/>
        <w:tblInd w:w="-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4"/>
        <w:gridCol w:w="12"/>
        <w:gridCol w:w="69"/>
        <w:gridCol w:w="2765"/>
        <w:gridCol w:w="2165"/>
      </w:tblGrid>
      <w:tr w:rsidR="00C04D42" w:rsidRPr="00C04D42" w:rsidTr="007458A0">
        <w:trPr>
          <w:trHeight w:val="12780"/>
          <w:tblCellSpacing w:w="0" w:type="dxa"/>
        </w:trPr>
        <w:tc>
          <w:tcPr>
            <w:tcW w:w="11025" w:type="dxa"/>
            <w:gridSpan w:val="5"/>
            <w:hideMark/>
          </w:tcPr>
          <w:p w:rsidR="00C04D42" w:rsidRPr="00254BB8" w:rsidRDefault="00726C25" w:rsidP="00C04D4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The Physician Assistant</w:t>
            </w:r>
            <w:r w:rsidR="00C04D42" w:rsidRPr="00254BB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  <w:r w:rsidR="00C04D42" w:rsidRPr="00254BB8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726C25" w:rsidRPr="00726C25" w:rsidRDefault="00726C25" w:rsidP="00726C25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</w:t>
            </w:r>
            <w:r w:rsidRPr="00726C25">
              <w:rPr>
                <w:rFonts w:ascii="Verdana" w:hAnsi="Verdana"/>
                <w:color w:val="000000"/>
                <w:sz w:val="20"/>
                <w:szCs w:val="20"/>
              </w:rPr>
              <w:t>A physician assistant (PA) is a medical professional who works as part of a team with a doctor. A PA is a graduate of an accredited PA educational program who is nationally certified and state-licensed to practice medicine with the supervision of a physician.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” (</w:t>
            </w:r>
            <w:hyperlink r:id="rId5" w:history="1">
              <w:r w:rsidRPr="00726C25">
                <w:rPr>
                  <w:rStyle w:val="Hyperlink"/>
                  <w:rFonts w:ascii="Verdana" w:hAnsi="Verdana"/>
                  <w:sz w:val="20"/>
                  <w:szCs w:val="20"/>
                </w:rPr>
                <w:t>What is a PA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?)</w:t>
            </w:r>
          </w:p>
          <w:p w:rsidR="00726C25" w:rsidRPr="00726C25" w:rsidRDefault="00726C25" w:rsidP="00726C25">
            <w:pPr>
              <w:shd w:val="clear" w:color="auto" w:fill="FFFFFF"/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26C2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54BB8" w:rsidRDefault="00254BB8" w:rsidP="00C04D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Prerequisites:</w:t>
            </w:r>
          </w:p>
          <w:p w:rsidR="00254BB8" w:rsidRDefault="00254BB8" w:rsidP="00C04D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necessary prerequisite courses vary significantly among institut</w:t>
            </w:r>
            <w:r w:rsidR="00726C25">
              <w:rPr>
                <w:rFonts w:ascii="Verdana" w:eastAsia="Times New Roman" w:hAnsi="Verdana" w:cs="Times New Roman"/>
                <w:sz w:val="20"/>
                <w:szCs w:val="20"/>
              </w:rPr>
              <w:t>ions.  Below are courses often required by PA programs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:rsidR="00254BB8" w:rsidRPr="00254BB8" w:rsidRDefault="00254BB8" w:rsidP="00C04D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254BB8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1 year general biology                     </w:t>
            </w:r>
            <w:r w:rsidR="00726C25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              </w:t>
            </w:r>
            <w:r w:rsidRPr="00254BB8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Bio 111        Bio 112</w:t>
            </w:r>
          </w:p>
          <w:p w:rsidR="00254BB8" w:rsidRPr="00254BB8" w:rsidRDefault="00254BB8" w:rsidP="00C04D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254BB8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1 year</w:t>
            </w:r>
            <w:r w:rsidR="00726C25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 (or semester)</w:t>
            </w:r>
            <w:r w:rsidRPr="00254BB8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 physic</w:t>
            </w:r>
            <w:r w:rsidR="00726C25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s         </w:t>
            </w:r>
            <w:r w:rsidRPr="00254BB8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 </w:t>
            </w:r>
            <w:r w:rsidR="00726C25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              </w:t>
            </w:r>
            <w:proofErr w:type="spellStart"/>
            <w:r w:rsidRPr="00254BB8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Physics</w:t>
            </w:r>
            <w:proofErr w:type="spellEnd"/>
            <w:r w:rsidRPr="00254BB8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 111  Physics 112</w:t>
            </w:r>
          </w:p>
          <w:p w:rsidR="00254BB8" w:rsidRPr="00254BB8" w:rsidRDefault="00254BB8" w:rsidP="00C04D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254BB8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1 year </w:t>
            </w:r>
            <w:r w:rsidR="00726C25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general </w:t>
            </w:r>
            <w:r w:rsidRPr="00254BB8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chem</w:t>
            </w:r>
            <w:r w:rsidR="00726C25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istry               </w:t>
            </w:r>
            <w:r w:rsidRPr="00254BB8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 </w:t>
            </w:r>
            <w:r w:rsidR="00726C25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              </w:t>
            </w:r>
            <w:proofErr w:type="spellStart"/>
            <w:r w:rsidRPr="00254BB8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Chem</w:t>
            </w:r>
            <w:proofErr w:type="spellEnd"/>
            <w:r w:rsidRPr="00254BB8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 111     </w:t>
            </w:r>
            <w:proofErr w:type="spellStart"/>
            <w:r w:rsidRPr="00254BB8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Chem</w:t>
            </w:r>
            <w:proofErr w:type="spellEnd"/>
            <w:r w:rsidRPr="00254BB8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 211</w:t>
            </w:r>
          </w:p>
          <w:p w:rsidR="00726C25" w:rsidRDefault="00726C25" w:rsidP="00C04D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1 year (or semester)</w:t>
            </w:r>
            <w:r w:rsidR="00254BB8" w:rsidRPr="00254BB8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 organic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chemisty</w:t>
            </w:r>
            <w:proofErr w:type="spellEnd"/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Chem</w:t>
            </w:r>
            <w:proofErr w:type="spellEnd"/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 221    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Chem</w:t>
            </w:r>
            <w:proofErr w:type="spellEnd"/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 321</w:t>
            </w:r>
          </w:p>
          <w:p w:rsidR="00726C25" w:rsidRDefault="00726C25" w:rsidP="00C04D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1 semester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Biochem</w:t>
            </w:r>
            <w:proofErr w:type="spellEnd"/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                                    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Chem</w:t>
            </w:r>
            <w:proofErr w:type="spellEnd"/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 361</w:t>
            </w:r>
          </w:p>
          <w:p w:rsidR="00726C25" w:rsidRDefault="00726C25" w:rsidP="00C04D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1 semester Anatomy                                    Bio 221</w:t>
            </w:r>
          </w:p>
          <w:p w:rsidR="00726C25" w:rsidRDefault="00726C25" w:rsidP="00C04D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1 semester Physiology                                </w:t>
            </w:r>
            <w:r w:rsidR="00C91878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Bio 315 (requires Bio 212)</w:t>
            </w:r>
          </w:p>
          <w:p w:rsidR="00726C25" w:rsidRDefault="00726C25" w:rsidP="00C04D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1 semester Microbiology                             </w:t>
            </w:r>
            <w:r w:rsidR="00C91878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Bio 225</w:t>
            </w:r>
          </w:p>
          <w:p w:rsidR="00C91878" w:rsidRDefault="00C91878" w:rsidP="00C04D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Psychology or Sociology</w:t>
            </w:r>
          </w:p>
          <w:p w:rsidR="00C91878" w:rsidRDefault="00C91878" w:rsidP="00C04D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Statistics                                                    Psych 201</w:t>
            </w:r>
          </w:p>
          <w:p w:rsidR="00C04D42" w:rsidRPr="005E6EF7" w:rsidRDefault="00C91878" w:rsidP="00C04D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PA programs also expect applicants to have significant healthcare experience, such as working as an EMT, nursing a</w:t>
            </w:r>
            <w:r w:rsidR="005E6EF7">
              <w:rPr>
                <w:rFonts w:ascii="Verdana" w:eastAsia="Times New Roman" w:hAnsi="Verdana" w:cs="Times New Roman"/>
                <w:sz w:val="18"/>
                <w:szCs w:val="18"/>
              </w:rPr>
              <w:t>ide, phlebotomist, etc.  School’s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expectations regarding clinical experience vary significantly, so interested students should consult websites of PA programs they are interested in attending.</w:t>
            </w:r>
          </w:p>
          <w:p w:rsidR="00C04D42" w:rsidRPr="00254BB8" w:rsidRDefault="005E6EF7" w:rsidP="00C04D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Students can learn more about becoming a PA at the </w:t>
            </w:r>
            <w:hyperlink r:id="rId6" w:history="1">
              <w:r w:rsidRPr="005E6EF7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AAPA</w:t>
              </w:r>
            </w:hyperlink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or </w:t>
            </w:r>
            <w:hyperlink r:id="rId7" w:history="1">
              <w:r w:rsidRPr="005E6EF7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PAEA</w:t>
              </w:r>
            </w:hyperlink>
            <w:r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C04D42" w:rsidRPr="005E6EF7" w:rsidRDefault="00C04D42" w:rsidP="00C04D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4BB8">
              <w:rPr>
                <w:rFonts w:ascii="Verdana" w:eastAsia="Times New Roman" w:hAnsi="Verdana" w:cs="Times New Roman"/>
                <w:sz w:val="20"/>
                <w:szCs w:val="20"/>
              </w:rPr>
              <w:t>There is now a centralized application service</w:t>
            </w:r>
            <w:r w:rsidR="005E6EF7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physician assistant programs, </w:t>
            </w:r>
            <w:hyperlink r:id="rId8" w:history="1">
              <w:r w:rsidR="005E6EF7" w:rsidRPr="005E6EF7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CAPSA</w:t>
              </w:r>
            </w:hyperlink>
            <w:r w:rsidR="005E6EF7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254BB8">
              <w:rPr>
                <w:rFonts w:ascii="Verdana" w:eastAsia="Times New Roman" w:hAnsi="Verdana" w:cs="Times New Roman"/>
                <w:sz w:val="20"/>
                <w:szCs w:val="20"/>
              </w:rPr>
              <w:t xml:space="preserve">  </w:t>
            </w:r>
            <w:r w:rsidR="005E6EF7">
              <w:rPr>
                <w:rFonts w:ascii="Verdana" w:eastAsia="Times New Roman" w:hAnsi="Verdana" w:cs="Times New Roman"/>
                <w:sz w:val="20"/>
                <w:szCs w:val="20"/>
              </w:rPr>
              <w:t>This allows applicants to submit one application for multiple programs. Admission to programs is competiti</w:t>
            </w:r>
            <w:r w:rsidR="007458A0">
              <w:rPr>
                <w:rFonts w:ascii="Verdana" w:eastAsia="Times New Roman" w:hAnsi="Verdana" w:cs="Times New Roman"/>
                <w:sz w:val="20"/>
                <w:szCs w:val="20"/>
              </w:rPr>
              <w:t>ve, and</w:t>
            </w:r>
            <w:r w:rsidR="005E6EF7">
              <w:rPr>
                <w:rFonts w:ascii="Verdana" w:eastAsia="Times New Roman" w:hAnsi="Verdana" w:cs="Times New Roman"/>
                <w:sz w:val="20"/>
                <w:szCs w:val="20"/>
              </w:rPr>
              <w:t xml:space="preserve"> applicants should have a minimum GPA of 3.3.   </w:t>
            </w:r>
            <w:r w:rsidRPr="00254BB8">
              <w:rPr>
                <w:rFonts w:ascii="Verdana" w:eastAsia="Times New Roman" w:hAnsi="Verdana" w:cs="Times New Roman"/>
                <w:sz w:val="20"/>
                <w:szCs w:val="20"/>
              </w:rPr>
              <w:t>The standardized test required for ent</w:t>
            </w:r>
            <w:r w:rsidR="005E6EF7">
              <w:rPr>
                <w:rFonts w:ascii="Verdana" w:eastAsia="Times New Roman" w:hAnsi="Verdana" w:cs="Times New Roman"/>
                <w:sz w:val="20"/>
                <w:szCs w:val="20"/>
              </w:rPr>
              <w:t>rance into most PA</w:t>
            </w:r>
            <w:r w:rsidR="007458A0">
              <w:rPr>
                <w:rFonts w:ascii="Verdana" w:eastAsia="Times New Roman" w:hAnsi="Verdana" w:cs="Times New Roman"/>
                <w:sz w:val="20"/>
                <w:szCs w:val="20"/>
              </w:rPr>
              <w:t xml:space="preserve"> programs is the </w:t>
            </w:r>
            <w:hyperlink r:id="rId9" w:history="1">
              <w:r w:rsidRPr="00254BB8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GRE</w:t>
              </w:r>
            </w:hyperlink>
            <w:r w:rsidRPr="00254BB8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="005E6EF7">
              <w:rPr>
                <w:rFonts w:ascii="Verdana" w:eastAsia="Times New Roman" w:hAnsi="Verdana" w:cs="Times New Roman"/>
                <w:sz w:val="20"/>
                <w:szCs w:val="20"/>
              </w:rPr>
              <w:t xml:space="preserve">  Most programs take 26 months (3 academic years) to complete and include classroom and clinical coursework.</w:t>
            </w:r>
            <w:bookmarkStart w:id="0" w:name="_GoBack"/>
            <w:bookmarkEnd w:id="0"/>
          </w:p>
        </w:tc>
      </w:tr>
      <w:tr w:rsidR="007458A0" w:rsidRPr="00C04D42" w:rsidTr="007458A0">
        <w:trPr>
          <w:gridAfter w:val="1"/>
          <w:wAfter w:w="2165" w:type="dxa"/>
          <w:tblCellSpacing w:w="0" w:type="dxa"/>
        </w:trPr>
        <w:tc>
          <w:tcPr>
            <w:tcW w:w="0" w:type="auto"/>
            <w:vAlign w:val="center"/>
            <w:hideMark/>
          </w:tcPr>
          <w:p w:rsidR="007458A0" w:rsidRPr="00C04D42" w:rsidRDefault="007458A0" w:rsidP="00C04D42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</w:rPr>
            </w:pPr>
            <w:r>
              <w:rPr>
                <w:rFonts w:ascii="Verdana" w:eastAsia="Times New Roman" w:hAnsi="Verdana" w:cs="Times New Roman"/>
                <w:noProof/>
                <w:sz w:val="13"/>
                <w:szCs w:val="13"/>
              </w:rPr>
              <w:drawing>
                <wp:inline distT="0" distB="0" distL="0" distR="0" wp14:anchorId="6FF83B4A" wp14:editId="21078377">
                  <wp:extent cx="3818255" cy="7620"/>
                  <wp:effectExtent l="0" t="0" r="0" b="0"/>
                  <wp:docPr id="5" name="Picture 5" descr="http://www.wabash.edu/common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abash.edu/common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255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458A0" w:rsidRPr="00C04D42" w:rsidRDefault="007458A0" w:rsidP="00C04D42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</w:rPr>
            </w:pPr>
            <w:r>
              <w:rPr>
                <w:rFonts w:ascii="Verdana" w:eastAsia="Times New Roman" w:hAnsi="Verdana" w:cs="Times New Roman"/>
                <w:noProof/>
                <w:sz w:val="13"/>
                <w:szCs w:val="13"/>
              </w:rPr>
              <w:drawing>
                <wp:inline distT="0" distB="0" distL="0" distR="0" wp14:anchorId="384B3031" wp14:editId="378497FA">
                  <wp:extent cx="7620" cy="7620"/>
                  <wp:effectExtent l="0" t="0" r="0" b="0"/>
                  <wp:docPr id="6" name="Picture 6" descr="http://www.wabash.edu/common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abash.edu/common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458A0" w:rsidRPr="00C04D42" w:rsidRDefault="007458A0" w:rsidP="00C04D42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</w:rPr>
            </w:pPr>
            <w:r>
              <w:rPr>
                <w:rFonts w:ascii="Verdana" w:eastAsia="Times New Roman" w:hAnsi="Verdana" w:cs="Times New Roman"/>
                <w:noProof/>
                <w:sz w:val="13"/>
                <w:szCs w:val="13"/>
              </w:rPr>
              <w:drawing>
                <wp:inline distT="0" distB="0" distL="0" distR="0" wp14:anchorId="74C712EE" wp14:editId="142E2EBF">
                  <wp:extent cx="43815" cy="7620"/>
                  <wp:effectExtent l="0" t="0" r="0" b="0"/>
                  <wp:docPr id="7" name="Picture 7" descr="http://www.wabash.edu/common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abash.edu/common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458A0" w:rsidRPr="00C04D42" w:rsidRDefault="007458A0" w:rsidP="00C04D42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</w:rPr>
            </w:pPr>
            <w:r>
              <w:rPr>
                <w:rFonts w:ascii="Verdana" w:eastAsia="Times New Roman" w:hAnsi="Verdana" w:cs="Times New Roman"/>
                <w:noProof/>
                <w:sz w:val="13"/>
                <w:szCs w:val="13"/>
              </w:rPr>
              <w:drawing>
                <wp:inline distT="0" distB="0" distL="0" distR="0" wp14:anchorId="4AC419A5" wp14:editId="6018BAFD">
                  <wp:extent cx="1755775" cy="7620"/>
                  <wp:effectExtent l="0" t="0" r="0" b="0"/>
                  <wp:docPr id="8" name="Picture 8" descr="http://www.wabash.edu/common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abash.edu/common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4BA" w:rsidRDefault="007458A0" w:rsidP="007458A0"/>
    <w:sectPr w:rsidR="003A34BA" w:rsidSect="00C04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42"/>
    <w:rsid w:val="00013F81"/>
    <w:rsid w:val="00254BB8"/>
    <w:rsid w:val="002E44E8"/>
    <w:rsid w:val="00385B04"/>
    <w:rsid w:val="003E1303"/>
    <w:rsid w:val="003F21D3"/>
    <w:rsid w:val="005E6EF7"/>
    <w:rsid w:val="00726C25"/>
    <w:rsid w:val="007458A0"/>
    <w:rsid w:val="0075348E"/>
    <w:rsid w:val="008257E4"/>
    <w:rsid w:val="00990CC7"/>
    <w:rsid w:val="00B67D40"/>
    <w:rsid w:val="00C04D42"/>
    <w:rsid w:val="00C36D02"/>
    <w:rsid w:val="00C91878"/>
    <w:rsid w:val="00D7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1CF10-11B9-4BE6-986F-7AD5B1B5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D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6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aspaonli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eaonlin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apa.org/landingquestion.aspx?id=2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apa.org/the_pa_profession/what_is_a_pa.aspx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ets.org/g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45DA-4A54-40EE-A192-B0C8D7BB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Wabash College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C. Rogers</dc:creator>
  <cp:keywords/>
  <dc:description/>
  <cp:lastModifiedBy>Jill Rogers</cp:lastModifiedBy>
  <cp:revision>3</cp:revision>
  <dcterms:created xsi:type="dcterms:W3CDTF">2014-04-16T19:44:00Z</dcterms:created>
  <dcterms:modified xsi:type="dcterms:W3CDTF">2014-04-28T19:22:00Z</dcterms:modified>
</cp:coreProperties>
</file>